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5E" w:rsidRDefault="00AB46B6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bookmarkStart w:id="0" w:name="_GoBack"/>
      <w:bookmarkEnd w:id="0"/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3190876</wp:posOffset>
                </wp:positionH>
                <wp:positionV relativeFrom="page">
                  <wp:posOffset>390527</wp:posOffset>
                </wp:positionV>
                <wp:extent cx="3500120" cy="1181100"/>
                <wp:effectExtent l="0" t="0" r="0" b="0"/>
                <wp:wrapNone/>
                <wp:docPr id="39" name="직사각형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4515" y="3218025"/>
                          <a:ext cx="344297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24B5E" w:rsidRDefault="00AB46B6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분야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창작동화</w:t>
                            </w:r>
                          </w:p>
                          <w:p w:rsidR="00A24B5E" w:rsidRDefault="00AB46B6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학습동화</w:t>
                            </w:r>
                          </w:p>
                          <w:p w:rsidR="00A24B5E" w:rsidRDefault="00AB46B6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동화책</w:t>
                            </w:r>
                          </w:p>
                          <w:p w:rsidR="00A24B5E" w:rsidRDefault="00AB46B6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어린이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초등학습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경제</w:t>
                            </w:r>
                          </w:p>
                          <w:p w:rsidR="00A24B5E" w:rsidRDefault="00AB46B6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해시태그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: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교육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동화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금융경제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39" o:spid="_x0000_s1026" style="position:absolute;left:0;text-align:left;margin-left:251.25pt;margin-top:30.75pt;width:275.6pt;height:9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" stroked="f">
                <v:textbox inset="2.53958mm,1.2694mm,2.53958mm,1.2694mm">
                  <w:txbxContent>
                    <w:p w:rsidR="00A24B5E" w:rsidRDefault="00AB46B6">
                      <w:pPr>
                        <w:spacing w:after="0" w:line="192" w:lineRule="auto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분야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ab/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창작동화</w:t>
                      </w:r>
                    </w:p>
                    <w:p w:rsidR="00A24B5E" w:rsidRDefault="00AB46B6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학습동화</w:t>
                      </w:r>
                    </w:p>
                    <w:p w:rsidR="00A24B5E" w:rsidRDefault="00AB46B6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/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동화책</w:t>
                      </w:r>
                    </w:p>
                    <w:p w:rsidR="00A24B5E" w:rsidRDefault="00AB46B6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ab/>
                      </w: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어린이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초등학습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경제</w:t>
                      </w:r>
                    </w:p>
                    <w:p w:rsidR="00A24B5E" w:rsidRDefault="00AB46B6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해시태그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: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교육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학습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동화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금융경제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866776</wp:posOffset>
                </wp:positionH>
                <wp:positionV relativeFrom="page">
                  <wp:posOffset>419103</wp:posOffset>
                </wp:positionV>
                <wp:extent cx="1400810" cy="400050"/>
                <wp:effectExtent l="0" t="0" r="0" b="0"/>
                <wp:wrapNone/>
                <wp:docPr id="38" name="직사각형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170" y="3608550"/>
                          <a:ext cx="1343660" cy="342900"/>
                        </a:xfrm>
                        <a:prstGeom prst="rect">
                          <a:avLst/>
                        </a:prstGeom>
                        <a:solidFill>
                          <a:srgbClr val="EB58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24B5E" w:rsidRDefault="00AB46B6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신간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보도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자료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38" o:spid="_x0000_s1027" style="position:absolute;left:0;text-align:left;margin-left:68.25pt;margin-top:33pt;width:110.3pt;height:3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" fillcolor="#eb5800" stroked="f">
                <v:textbox inset="2.53958mm,1.2694mm,2.53958mm,1.2694mm">
                  <w:txbxContent>
                    <w:p w:rsidR="00A24B5E" w:rsidRDefault="00AB46B6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신간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보도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자료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24B5E" w:rsidRDefault="00AB46B6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1524003</wp:posOffset>
                </wp:positionV>
                <wp:extent cx="5405755" cy="609106"/>
                <wp:effectExtent l="0" t="0" r="0" b="0"/>
                <wp:wrapNone/>
                <wp:docPr id="40" name="직사각형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7550" y="3413250"/>
                          <a:ext cx="6756900" cy="7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24B5E" w:rsidRDefault="00AB46B6">
                            <w:pPr>
                              <w:spacing w:after="0"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엄마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아빠는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주식을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사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40" o:spid="_x0000_s1028" style="position:absolute;left:0;text-align:left;margin-left:0;margin-top:120pt;width:425.65pt;height:47.9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" stroked="f">
                <v:textbox inset="2.53958mm,1.2694mm,2.53958mm,1.2694mm">
                  <w:txbxContent>
                    <w:p w:rsidR="00A24B5E" w:rsidRDefault="00AB46B6">
                      <w:pPr>
                        <w:spacing w:after="0" w:line="311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엄마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아빠는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주식을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왜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사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?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A24B5E" w:rsidRDefault="00AB46B6">
      <w:pPr>
        <w:spacing w:after="0" w:line="240" w:lineRule="auto"/>
        <w:jc w:val="center"/>
        <w:rPr>
          <w:rFonts w:ascii="함초롬돋움" w:eastAsia="함초롬돋움" w:hAnsi="함초롬돋움" w:cs="함초롬돋움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sz w:val="24"/>
          <w:szCs w:val="24"/>
        </w:rPr>
        <w:drawing>
          <wp:inline distT="114300" distB="114300" distL="114300" distR="114300">
            <wp:extent cx="3487575" cy="3476910"/>
            <wp:effectExtent l="0" t="0" r="0" b="0"/>
            <wp:docPr id="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7575" cy="347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4B5E" w:rsidRDefault="00A24B5E">
      <w:pPr>
        <w:spacing w:after="0" w:line="240" w:lineRule="auto"/>
        <w:jc w:val="center"/>
        <w:rPr>
          <w:rFonts w:ascii="함초롬돋움" w:eastAsia="함초롬돋움" w:hAnsi="함초롬돋움" w:cs="함초롬돋움"/>
          <w:sz w:val="24"/>
          <w:szCs w:val="24"/>
        </w:rPr>
      </w:pPr>
    </w:p>
    <w:p w:rsidR="00A24B5E" w:rsidRDefault="00A24B5E">
      <w:pPr>
        <w:spacing w:after="0" w:line="240" w:lineRule="auto"/>
        <w:jc w:val="left"/>
        <w:rPr>
          <w:rFonts w:ascii="함초롬돋움" w:eastAsia="함초롬돋움" w:hAnsi="함초롬돋움" w:cs="함초롬돋움"/>
          <w:sz w:val="24"/>
          <w:szCs w:val="24"/>
        </w:rPr>
      </w:pPr>
    </w:p>
    <w:p w:rsidR="00A24B5E" w:rsidRDefault="00AB46B6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b/>
          <w:bCs/>
          <w:noProof/>
          <w:color w:val="0000FF"/>
          <w:sz w:val="22"/>
          <w:szCs w:val="22"/>
        </w:rPr>
        <mc:AlternateContent>
          <mc:Choice Requires="wps">
            <w:drawing>
              <wp:inline distT="0" distB="0" distL="0" distR="0">
                <wp:extent cx="1273175" cy="342900"/>
                <wp:effectExtent l="0" t="0" r="0" b="0"/>
                <wp:docPr id="37" name="사각형: 둥근 모서리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7988" y="3637125"/>
                          <a:ext cx="1216025" cy="2857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4B5E" w:rsidRDefault="00AB46B6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서지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정보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사각형: 둥근 모서리 37" o:spid="_x0000_s1029" style="width:100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" fillcolor="black">
                <v:stroke startarrowwidth="narrow" startarrowlength="short" endarrowwidth="narrow" endarrowlength="short"/>
                <v:textbox inset="2.53958mm,1.2694mm,2.53958mm,1.2694mm">
                  <w:txbxContent>
                    <w:p w:rsidR="00A24B5E" w:rsidRDefault="00AB46B6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서지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정보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f3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11"/>
        <w:gridCol w:w="1284"/>
        <w:gridCol w:w="1284"/>
        <w:gridCol w:w="983"/>
        <w:gridCol w:w="2229"/>
        <w:gridCol w:w="899"/>
        <w:gridCol w:w="1068"/>
      </w:tblGrid>
      <w:tr w:rsidR="00A24B5E">
        <w:trPr>
          <w:trHeight w:val="33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제목</w:t>
            </w:r>
          </w:p>
        </w:tc>
        <w:tc>
          <w:tcPr>
            <w:tcW w:w="7747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</w:rPr>
              <w:t>엄마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아빠는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주식을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왜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사</w:t>
            </w:r>
            <w:r>
              <w:rPr>
                <w:rFonts w:ascii="함초롬돋움" w:eastAsia="함초롬돋움" w:hAnsi="함초롬돋움" w:cs="함초롬돋움"/>
              </w:rPr>
              <w:t>?</w:t>
            </w:r>
          </w:p>
        </w:tc>
      </w:tr>
      <w:tr w:rsidR="00A24B5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ISBN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979-11-7467-12</w:t>
            </w:r>
            <w:r>
              <w:rPr>
                <w:rFonts w:ascii="함초롬돋움" w:eastAsia="함초롬돋움" w:hAnsi="함초롬돋움" w:cs="함초롬돋움"/>
              </w:rPr>
              <w:t>7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-</w:t>
            </w:r>
            <w:r>
              <w:rPr>
                <w:rFonts w:ascii="함초롬돋움" w:eastAsia="함초롬돋움" w:hAnsi="함초롬돋움" w:cs="함초롬돋움"/>
              </w:rPr>
              <w:t>1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74320 </w:t>
            </w:r>
          </w:p>
        </w:tc>
      </w:tr>
      <w:tr w:rsidR="00A24B5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발행일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일</w:t>
            </w:r>
          </w:p>
        </w:tc>
      </w:tr>
      <w:tr w:rsidR="00A24B5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정가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15,000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원</w:t>
            </w:r>
          </w:p>
        </w:tc>
      </w:tr>
      <w:tr w:rsidR="00A24B5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판형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/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형태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200×200×9mm,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양장</w:t>
            </w:r>
          </w:p>
        </w:tc>
      </w:tr>
      <w:tr w:rsidR="00A24B5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쪽수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36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쪽</w:t>
            </w:r>
          </w:p>
        </w:tc>
      </w:tr>
      <w:tr w:rsidR="00A24B5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·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그림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켈리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그림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/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</w:rPr>
              <w:t>제이드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우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한진아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옮김</w:t>
            </w:r>
          </w:p>
        </w:tc>
      </w:tr>
      <w:tr w:rsidR="00A24B5E">
        <w:trPr>
          <w:trHeight w:val="354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KC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인증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관련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정보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979-11-7467-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1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2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7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-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공급자적합성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확인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㈜길벗스쿨</w:t>
            </w:r>
          </w:p>
        </w:tc>
        <w:tc>
          <w:tcPr>
            <w:tcW w:w="22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일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대한민국</w:t>
            </w:r>
          </w:p>
        </w:tc>
        <w:tc>
          <w:tcPr>
            <w:tcW w:w="10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세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이상</w:t>
            </w:r>
          </w:p>
        </w:tc>
      </w:tr>
    </w:tbl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FF"/>
          <w:sz w:val="22"/>
          <w:szCs w:val="22"/>
        </w:rPr>
      </w:pPr>
    </w:p>
    <w:tbl>
      <w:tblPr>
        <w:tblStyle w:val="af4"/>
        <w:tblpPr w:vertAnchor="text" w:tblpY="110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53"/>
        <w:gridCol w:w="7705"/>
      </w:tblGrid>
      <w:tr w:rsidR="00A24B5E">
        <w:trPr>
          <w:trHeight w:val="97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noProof/>
                <w:color w:val="000000"/>
                <w:sz w:val="16"/>
                <w:szCs w:val="16"/>
              </w:rPr>
              <w:lastRenderedPageBreak/>
              <w:drawing>
                <wp:inline distT="0" distB="0" distL="0" distR="0">
                  <wp:extent cx="438150" cy="438150"/>
                  <wp:effectExtent l="0" t="0" r="0" b="0"/>
                  <wp:docPr id="42" name="image1.jpg" descr="EMB000068dc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MB000068dc139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24B5E" w:rsidRDefault="00AB46B6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주소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(04003)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서울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마포구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월드컵로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14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25,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우진빌딩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층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</w:p>
          <w:p w:rsidR="00A24B5E" w:rsidRDefault="00AB46B6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대표전화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(02)332-0931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팩스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(02)322-3895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홈페이지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www.gilbutschool.co.kr</w:t>
            </w:r>
          </w:p>
          <w:p w:rsidR="00A24B5E" w:rsidRDefault="00AB46B6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문의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길벗스쿨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유아콘텐츠유닛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박민경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☎ (02)310-4722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A24B5E" w:rsidRDefault="00AB46B6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  <w:r>
        <w:br w:type="page"/>
      </w:r>
    </w:p>
    <w:p w:rsidR="00A24B5E" w:rsidRDefault="00AB46B6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lastRenderedPageBreak/>
        <w:t>책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>소개</w:t>
      </w: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</w:p>
    <w:p w:rsidR="00A24B5E" w:rsidRDefault="00AB46B6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0"/>
          <w:id w:val="-1812655105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어른들이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맨날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이야기하는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주식이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무엇인지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궁금하지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?</w:t>
          </w:r>
        </w:sdtContent>
      </w:sdt>
    </w:p>
    <w:p w:rsidR="00A24B5E" w:rsidRDefault="00AB46B6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"/>
          <w:id w:val="1669114297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주식을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산다는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그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회사를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응원한다는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뜻이야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A24B5E" w:rsidRDefault="00A24B5E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A24B5E" w:rsidRDefault="00AB46B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"/>
          <w:id w:val="-89645087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《엄마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아빠는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세상에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선보이는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여섯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특공대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친구들이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가게를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올바른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24B5E" w:rsidRDefault="00AB46B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3"/>
          <w:id w:val="1751185523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200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상장사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93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개사에서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발표한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미성년자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약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79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명에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달합니다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상당수는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명의로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운용하는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경우겠지만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어른들만의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자립을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과정입니다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24B5E" w:rsidRDefault="00AB46B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4"/>
          <w:id w:val="-1378454471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자신의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가게를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크게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키우기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친구들에게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나누어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다함께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힘을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디저트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왕국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가게를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열어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성장시키는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응원하고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자신이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성장하는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방법이라는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건전한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24B5E" w:rsidRDefault="00AB46B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5"/>
          <w:id w:val="1324166237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전문가이자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간결한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속에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명쾌하고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직관적인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메시지를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담아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전달합니다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24B5E" w:rsidRDefault="00A24B5E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b/>
          <w:bCs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A24B5E" w:rsidRDefault="00AB46B6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상세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이미지</w:t>
      </w:r>
    </w:p>
    <w:p w:rsidR="00A24B5E" w:rsidRDefault="00AB46B6">
      <w:pPr>
        <w:spacing w:after="0" w:line="240" w:lineRule="auto"/>
        <w:rPr>
          <w:rFonts w:ascii="함초롬돋움" w:eastAsia="함초롬돋움" w:hAnsi="함초롬돋움" w:cs="함초롬돋움"/>
        </w:rPr>
      </w:pP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첨부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파일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확인해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주세요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.</w:t>
      </w: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A24B5E" w:rsidRDefault="00AB46B6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저자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소개</w:t>
      </w: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A24B5E" w:rsidRDefault="00AB46B6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6"/>
          <w:id w:val="1480123515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글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그림</w:t>
          </w:r>
        </w:sdtContent>
      </w:sdt>
    </w:p>
    <w:p w:rsidR="00A24B5E" w:rsidRDefault="00AB46B6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7"/>
          <w:id w:val="-92941829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컴퓨터공학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학위를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취득하고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lastRenderedPageBreak/>
            <w:t>수학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같은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바탕으로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높이는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기여하고자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쓰고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그렸다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일찍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시작할수록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호기심이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커지고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합리적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단단하게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뿌리내린다고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믿는다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일상에서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돈에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화를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나누면서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구성했다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A24B5E" w:rsidRDefault="00A24B5E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A24B5E" w:rsidRDefault="00AB46B6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8"/>
          <w:id w:val="1284646724"/>
        </w:sdtPr>
        <w:sdtEndPr/>
        <w:sdtContent>
          <w:proofErr w:type="spellStart"/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제이드</w:t>
          </w:r>
          <w:proofErr w:type="spellEnd"/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우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A24B5E" w:rsidRDefault="00AB46B6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9"/>
          <w:id w:val="35999878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호텔경영학을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전공하고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중심지에서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경제의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흐름을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몸소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체험하면서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역설적으로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개인의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얼마나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중요한지를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깨달았고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계기가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한국과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차이를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고려해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내용을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다듬고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눈높이에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맞게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다정한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전달하려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애썼다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조절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현명한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역량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습관을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들이는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꾸준한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연습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과정이라고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생각한다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A24B5E" w:rsidRDefault="00A24B5E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A24B5E" w:rsidRDefault="00AB46B6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10"/>
          <w:id w:val="-1647461063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한진아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A24B5E" w:rsidRDefault="00AB46B6">
      <w:pPr>
        <w:spacing w:after="0" w:line="360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11"/>
          <w:id w:val="2120939755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육아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전문지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기자를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지금은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어린이책을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짓고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만들고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물론이고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성인이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되어서도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근처에도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못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세대다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아이들만큼은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풍요로운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환경에서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자랐으면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바람으로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작업에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참여했다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까다로운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숙하게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풀어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집중했다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 ‘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사회정서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동화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문해력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_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래퍼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산신령》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《자존감》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《자율》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따라쟁이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물고기》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다수의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A24B5E" w:rsidRDefault="00A24B5E">
      <w:pPr>
        <w:spacing w:after="0" w:line="360" w:lineRule="auto"/>
        <w:jc w:val="left"/>
        <w:rPr>
          <w:rFonts w:ascii="Arial" w:eastAsia="Arial" w:hAnsi="Arial" w:cs="Arial"/>
          <w:b/>
          <w:bCs/>
          <w:color w:val="358791"/>
          <w:sz w:val="22"/>
          <w:szCs w:val="22"/>
        </w:rPr>
      </w:pPr>
    </w:p>
    <w:p w:rsidR="00A24B5E" w:rsidRDefault="00A24B5E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A24B5E" w:rsidRDefault="00A24B5E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A24B5E" w:rsidRDefault="00AB46B6">
      <w:pPr>
        <w:widowControl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출판사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리뷰</w:t>
      </w:r>
    </w:p>
    <w:p w:rsidR="00A24B5E" w:rsidRDefault="00A24B5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A24B5E" w:rsidRDefault="00AB46B6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2"/>
          <w:id w:val="280234919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근로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소득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못지않게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소득이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중요해진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시대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,</w:t>
          </w:r>
        </w:sdtContent>
      </w:sdt>
    </w:p>
    <w:p w:rsidR="00A24B5E" w:rsidRDefault="00AB46B6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3"/>
          <w:id w:val="-1896210064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주식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개념으로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세상이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움직이는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원리를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이해하고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,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건전한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투자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태도를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익혀요</w:t>
          </w:r>
        </w:sdtContent>
      </w:sdt>
    </w:p>
    <w:p w:rsidR="00A24B5E" w:rsidRDefault="00A24B5E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:rsidR="00A24B5E" w:rsidRDefault="00AB46B6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  <w:sdt>
        <w:sdtPr>
          <w:tag w:val="goog_rdk_14"/>
          <w:id w:val="189939274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믿고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성장하는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응원의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풀어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줘서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</w:sdtContent>
      </w:sdt>
    </w:p>
    <w:p w:rsidR="00A24B5E" w:rsidRDefault="00AB46B6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  <w:sdt>
        <w:sdtPr>
          <w:tag w:val="goog_rdk_15"/>
          <w:id w:val="-24322283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자본주의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기초를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건강하게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접할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기회가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!”_vely_daom.ddo._.om</w:t>
          </w:r>
        </w:sdtContent>
      </w:sdt>
    </w:p>
    <w:p w:rsidR="00A24B5E" w:rsidRDefault="00A24B5E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</w:p>
    <w:p w:rsidR="00A24B5E" w:rsidRDefault="00AB46B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6"/>
          <w:id w:val="-27340448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본질은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단순합니다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성장하는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여러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사람이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나눠서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대가로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공동으로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소유하는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좋아하는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과자를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즐겨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애니메이션을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제작하는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매일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버스를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운영하는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등이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누군가의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움직이고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그때부터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어려운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속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밀접하게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연결된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살아있는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24B5E" w:rsidRDefault="00AB46B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7"/>
          <w:id w:val="110029490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버는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방법이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다양하다는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깨닫게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첫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《돈은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하늘에서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떨어지는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버는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가게를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운영하면서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때때로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추가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집안일을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팔아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버는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에피소드를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말이지요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《엄마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아빠는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spellStart"/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를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버는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방법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즉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소득을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다룹니다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열심히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꾸준히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스스로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일찍부터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성인이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되어서도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건전한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일곱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《저축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읽으면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선택지를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비교해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역량을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더욱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풍부하게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거예요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24B5E" w:rsidRDefault="00A24B5E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:rsidR="00A24B5E" w:rsidRDefault="00A24B5E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:rsidR="00A24B5E" w:rsidRDefault="00AB46B6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8"/>
          <w:id w:val="-1982240966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교육이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처음이라면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생애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스쿨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A24B5E" w:rsidRDefault="00A24B5E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A24B5E" w:rsidRDefault="00AB46B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9"/>
          <w:id w:val="47413383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《엄마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아빠는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여섯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동화입니다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움직이는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가르친다면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안전하게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지키며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휴대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몇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터치하는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것만으로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언제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가능해지고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하루가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멀다고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뉴스가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들려오는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요즘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선진국에서는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먼저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24B5E" w:rsidRDefault="00AB46B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0"/>
          <w:id w:val="-21454463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동전보다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친숙한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디지털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숫자로만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많아요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추상적인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일상적이고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구체적인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가르쳐야만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24B5E" w:rsidRDefault="00AB46B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1"/>
          <w:id w:val="-1109265551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나이나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단계와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상관없이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접하는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재미있게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올바른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도와줍니다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낯선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스쿨이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드리겠습니다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24B5E" w:rsidRDefault="00A24B5E">
      <w:pPr>
        <w:spacing w:after="0" w:line="240" w:lineRule="auto"/>
        <w:rPr>
          <w:b/>
          <w:bCs/>
          <w:color w:val="666666"/>
          <w:sz w:val="23"/>
          <w:szCs w:val="23"/>
          <w:highlight w:val="white"/>
        </w:rPr>
      </w:pPr>
    </w:p>
    <w:sectPr w:rsidR="00A24B5E">
      <w:headerReference w:type="default" r:id="rId9"/>
      <w:pgSz w:w="11906" w:h="16838"/>
      <w:pgMar w:top="1701" w:right="1440" w:bottom="144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6B6" w:rsidRDefault="00AB46B6">
      <w:pPr>
        <w:spacing w:after="0" w:line="240" w:lineRule="auto"/>
      </w:pPr>
      <w:r>
        <w:separator/>
      </w:r>
    </w:p>
  </w:endnote>
  <w:endnote w:type="continuationSeparator" w:id="0">
    <w:p w:rsidR="00AB46B6" w:rsidRDefault="00AB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1" w:subsetted="1" w:fontKey="{E34844D6-50E1-4323-8F1C-2DFE568F70C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66AE948B-6889-404B-9772-62239818B4D8}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  <w:embedRegular r:id="rId3" w:subsetted="1" w:fontKey="{4F87430F-4DB1-4E0A-9228-E101B9192617}"/>
    <w:embedBold r:id="rId4" w:subsetted="1" w:fontKey="{CAF76598-608A-4764-9277-1FEE1DE6534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6B6" w:rsidRDefault="00AB46B6">
      <w:pPr>
        <w:spacing w:after="0" w:line="240" w:lineRule="auto"/>
      </w:pPr>
      <w:r>
        <w:separator/>
      </w:r>
    </w:p>
  </w:footnote>
  <w:footnote w:type="continuationSeparator" w:id="0">
    <w:p w:rsidR="00AB46B6" w:rsidRDefault="00AB4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B5E" w:rsidRDefault="00AB46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b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bCs/>
        <w:color w:val="AEAAAA"/>
      </w:rPr>
      <w:t>[</w:t>
    </w:r>
    <w:r>
      <w:rPr>
        <w:b/>
        <w:bCs/>
        <w:color w:val="AEAAAA"/>
      </w:rPr>
      <w:t>길벗스쿨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신간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보도자료</w:t>
    </w:r>
    <w:r>
      <w:rPr>
        <w:b/>
        <w:bCs/>
        <w:color w:val="AEAAA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5E"/>
    <w:rsid w:val="00A24B5E"/>
    <w:rsid w:val="00A335AD"/>
    <w:rsid w:val="00AB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52699F-1B8B-416D-81EC-402110DF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4">
    <w:name w:val="바탕글"/>
    <w:rsid w:val="0023461C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styleId="a5">
    <w:name w:val="header"/>
    <w:link w:val="Char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F82"/>
  </w:style>
  <w:style w:type="paragraph" w:styleId="a6">
    <w:name w:val="footer"/>
    <w:link w:val="Char0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F82"/>
  </w:style>
  <w:style w:type="paragraph" w:styleId="a7">
    <w:name w:val="List Paragraph"/>
    <w:uiPriority w:val="34"/>
    <w:qFormat/>
    <w:rsid w:val="004578AC"/>
    <w:pPr>
      <w:ind w:leftChars="400" w:left="800"/>
    </w:pPr>
  </w:style>
  <w:style w:type="table" w:customStyle="1" w:styleId="a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9I0qrv8/ES77UVDPfNhhD4Bcq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zgAciExaUJlQ0lYS2FCUG1ZYmZlU0liN3lYUnpsZ3Z1aVI5L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gilbut</dc:creator>
  <cp:lastModifiedBy>gilbut</cp:lastModifiedBy>
  <cp:revision>2</cp:revision>
  <dcterms:created xsi:type="dcterms:W3CDTF">2026-03-30T01:06:00Z</dcterms:created>
  <dcterms:modified xsi:type="dcterms:W3CDTF">2026-03-30T01:06:00Z</dcterms:modified>
</cp:coreProperties>
</file>