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894" w:rsidRDefault="005F2253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bookmarkStart w:id="0" w:name="_GoBack"/>
      <w:bookmarkEnd w:id="0"/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3205164</wp:posOffset>
                </wp:positionH>
                <wp:positionV relativeFrom="page">
                  <wp:posOffset>404814</wp:posOffset>
                </wp:positionV>
                <wp:extent cx="3471545" cy="1152525"/>
                <wp:effectExtent l="0" t="0" r="0" b="0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4515" y="3218025"/>
                          <a:ext cx="344297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B3894" w:rsidRDefault="005F2253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분야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창작동화</w:t>
                            </w:r>
                          </w:p>
                          <w:p w:rsidR="00BB3894" w:rsidRDefault="005F2253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학습동화</w:t>
                            </w:r>
                          </w:p>
                          <w:p w:rsidR="00BB3894" w:rsidRDefault="005F2253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동화책</w:t>
                            </w:r>
                          </w:p>
                          <w:p w:rsidR="00BB3894" w:rsidRDefault="005F2253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어린이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초등학습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경제</w:t>
                            </w:r>
                          </w:p>
                          <w:p w:rsidR="00BB3894" w:rsidRDefault="005F2253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해시태그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: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교육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동화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금융경제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21" o:spid="_x0000_s1026" style="position:absolute;left:0;text-align:left;margin-left:252.4pt;margin-top:31.9pt;width:273.35pt;height:90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" stroked="f">
                <v:textbox inset="2.53958mm,1.2694mm,2.53958mm,1.2694mm">
                  <w:txbxContent>
                    <w:p w:rsidR="00BB3894" w:rsidRDefault="005F2253">
                      <w:pPr>
                        <w:spacing w:after="0" w:line="192" w:lineRule="auto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분야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ab/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창작동화</w:t>
                      </w:r>
                    </w:p>
                    <w:p w:rsidR="00BB3894" w:rsidRDefault="005F2253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학습동화</w:t>
                      </w:r>
                    </w:p>
                    <w:p w:rsidR="00BB3894" w:rsidRDefault="005F2253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/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동화책</w:t>
                      </w:r>
                    </w:p>
                    <w:p w:rsidR="00BB3894" w:rsidRDefault="005F2253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ab/>
                      </w: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어린이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초등학습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경제</w:t>
                      </w:r>
                    </w:p>
                    <w:p w:rsidR="00BB3894" w:rsidRDefault="005F2253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해시태그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: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교육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학습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동화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금융경제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881064</wp:posOffset>
                </wp:positionH>
                <wp:positionV relativeFrom="page">
                  <wp:posOffset>433389</wp:posOffset>
                </wp:positionV>
                <wp:extent cx="1372235" cy="371475"/>
                <wp:effectExtent l="0" t="0" r="0" b="0"/>
                <wp:wrapNone/>
                <wp:docPr id="20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4170" y="3608550"/>
                          <a:ext cx="1343660" cy="342900"/>
                        </a:xfrm>
                        <a:prstGeom prst="rect">
                          <a:avLst/>
                        </a:prstGeom>
                        <a:solidFill>
                          <a:srgbClr val="EB58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B3894" w:rsidRDefault="005F2253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신간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보도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자료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20" o:spid="_x0000_s1027" style="position:absolute;left:0;text-align:left;margin-left:69.4pt;margin-top:34.15pt;width:108.05pt;height:29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" fillcolor="#eb5800" stroked="f">
                <v:textbox inset="2.53958mm,1.2694mm,2.53958mm,1.2694mm">
                  <w:txbxContent>
                    <w:p w:rsidR="00BB3894" w:rsidRDefault="005F2253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신간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보도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자료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B3894" w:rsidRDefault="005F2253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1538289</wp:posOffset>
                </wp:positionV>
                <wp:extent cx="5377180" cy="762000"/>
                <wp:effectExtent l="0" t="0" r="0" b="0"/>
                <wp:wrapNone/>
                <wp:docPr id="22" name="직사각형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1698" y="3413288"/>
                          <a:ext cx="534860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B3894" w:rsidRDefault="005F2253">
                            <w:pPr>
                              <w:spacing w:after="0"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갖고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싶은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거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다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살래</w:t>
                            </w:r>
                            <w:proofErr w:type="spellEnd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22" o:spid="_x0000_s1028" style="position:absolute;left:0;text-align:left;margin-left:0;margin-top:121.15pt;width:423.4pt;height:60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" stroked="f">
                <v:textbox inset="2.53958mm,1.2694mm,2.53958mm,1.2694mm">
                  <w:txbxContent>
                    <w:p w:rsidR="00BB3894" w:rsidRDefault="005F2253">
                      <w:pPr>
                        <w:spacing w:after="0" w:line="311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갖고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싶은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거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다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살래</w:t>
                      </w:r>
                      <w:proofErr w:type="spellEnd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!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BB3894" w:rsidRDefault="005F2253">
      <w:pPr>
        <w:spacing w:after="0" w:line="240" w:lineRule="auto"/>
        <w:jc w:val="center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327444" cy="3318966"/>
            <wp:effectExtent l="0" t="0" r="0" b="0"/>
            <wp:docPr id="2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444" cy="33189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3894" w:rsidRDefault="00BB3894">
      <w:pPr>
        <w:spacing w:after="0" w:line="240" w:lineRule="auto"/>
        <w:jc w:val="left"/>
        <w:rPr>
          <w:rFonts w:ascii="함초롬돋움" w:eastAsia="함초롬돋움" w:hAnsi="함초롬돋움" w:cs="함초롬돋움"/>
          <w:sz w:val="24"/>
          <w:szCs w:val="24"/>
        </w:rPr>
      </w:pPr>
    </w:p>
    <w:p w:rsidR="00BB3894" w:rsidRDefault="005F2253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b/>
          <w:bCs/>
          <w:noProof/>
          <w:color w:val="0000FF"/>
          <w:sz w:val="22"/>
          <w:szCs w:val="22"/>
        </w:rPr>
        <mc:AlternateContent>
          <mc:Choice Requires="wps">
            <w:drawing>
              <wp:inline distT="0" distB="0" distL="0" distR="0">
                <wp:extent cx="1244600" cy="314325"/>
                <wp:effectExtent l="0" t="0" r="0" b="0"/>
                <wp:docPr id="19" name="사각형: 둥근 모서리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7988" y="3637125"/>
                          <a:ext cx="1216025" cy="2857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3894" w:rsidRDefault="005F2253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서지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정보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사각형: 둥근 모서리 19" o:spid="_x0000_s1029" style="width:98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" fillcolor="black">
                <v:stroke startarrowwidth="narrow" startarrowlength="short" endarrowwidth="narrow" endarrowlength="short"/>
                <v:textbox inset="2.53958mm,1.2694mm,2.53958mm,1.2694mm">
                  <w:txbxContent>
                    <w:p w:rsidR="00BB3894" w:rsidRDefault="005F2253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서지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정보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d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11"/>
        <w:gridCol w:w="1284"/>
        <w:gridCol w:w="1284"/>
        <w:gridCol w:w="983"/>
        <w:gridCol w:w="2229"/>
        <w:gridCol w:w="899"/>
        <w:gridCol w:w="1068"/>
      </w:tblGrid>
      <w:tr w:rsidR="00BB3894">
        <w:trPr>
          <w:trHeight w:val="33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제목</w:t>
            </w:r>
          </w:p>
        </w:tc>
        <w:tc>
          <w:tcPr>
            <w:tcW w:w="7747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갖고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싶은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거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다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</w:rPr>
              <w:t>살래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</w:rPr>
              <w:t>!</w:t>
            </w:r>
          </w:p>
        </w:tc>
      </w:tr>
      <w:tr w:rsidR="00BB389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ISBN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979-11-7467-123-3 74320 </w:t>
            </w:r>
          </w:p>
        </w:tc>
      </w:tr>
      <w:tr w:rsidR="00BB389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발행일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일</w:t>
            </w:r>
          </w:p>
        </w:tc>
      </w:tr>
      <w:tr w:rsidR="00BB389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정가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15,000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원</w:t>
            </w:r>
          </w:p>
        </w:tc>
      </w:tr>
      <w:tr w:rsidR="00BB389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판형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/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형태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200×200×9mm,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양장</w:t>
            </w:r>
          </w:p>
        </w:tc>
      </w:tr>
      <w:tr w:rsidR="00BB389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쪽수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36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쪽</w:t>
            </w:r>
          </w:p>
        </w:tc>
      </w:tr>
      <w:tr w:rsidR="00BB389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·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그림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켈리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proofErr w:type="gramStart"/>
            <w:r>
              <w:rPr>
                <w:rFonts w:ascii="함초롬돋움" w:eastAsia="함초롬돋움" w:hAnsi="함초롬돋움" w:cs="함초롬돋움"/>
                <w:color w:val="000000"/>
              </w:rPr>
              <w:t>그림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/</w:t>
            </w:r>
            <w:proofErr w:type="gram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</w:rPr>
              <w:t>제이드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우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한진아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옮김</w:t>
            </w:r>
          </w:p>
        </w:tc>
      </w:tr>
      <w:tr w:rsidR="00BB3894">
        <w:trPr>
          <w:trHeight w:val="354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KC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인증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관련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정보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979-11-7467-123-3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공급자적합성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확인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㈜길벗스쿨</w:t>
            </w:r>
          </w:p>
        </w:tc>
        <w:tc>
          <w:tcPr>
            <w:tcW w:w="22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일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대한민국</w:t>
            </w:r>
          </w:p>
        </w:tc>
        <w:tc>
          <w:tcPr>
            <w:tcW w:w="106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세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이상</w:t>
            </w:r>
          </w:p>
        </w:tc>
      </w:tr>
    </w:tbl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FF"/>
          <w:sz w:val="22"/>
          <w:szCs w:val="22"/>
        </w:rPr>
      </w:pPr>
    </w:p>
    <w:tbl>
      <w:tblPr>
        <w:tblStyle w:val="ae"/>
        <w:tblpPr w:vertAnchor="text" w:tblpY="110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53"/>
        <w:gridCol w:w="7705"/>
      </w:tblGrid>
      <w:tr w:rsidR="00BB3894">
        <w:trPr>
          <w:trHeight w:val="97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noProof/>
                <w:color w:val="000000"/>
                <w:sz w:val="16"/>
                <w:szCs w:val="16"/>
              </w:rPr>
              <w:lastRenderedPageBreak/>
              <w:drawing>
                <wp:inline distT="0" distB="0" distL="0" distR="0">
                  <wp:extent cx="438150" cy="438150"/>
                  <wp:effectExtent l="0" t="0" r="0" b="0"/>
                  <wp:docPr id="24" name="image1.jpg" descr="EMB000068dc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MB000068dc139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3894" w:rsidRDefault="005F2253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주소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(04003)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서울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마포구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월드컵로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14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25,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우진빌딩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층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</w:p>
          <w:p w:rsidR="00BB3894" w:rsidRDefault="005F2253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대표전화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(02)332-0931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팩스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(02)322-3895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홈페이지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www.gilbutschool.co.kr</w:t>
            </w:r>
          </w:p>
          <w:p w:rsidR="00BB3894" w:rsidRDefault="005F2253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문의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길벗스쿨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유아콘텐츠유닛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박민경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☎ (02)310-4722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BB3894" w:rsidRDefault="005F2253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  <w:r>
        <w:br w:type="page"/>
      </w:r>
    </w:p>
    <w:p w:rsidR="00BB3894" w:rsidRDefault="005F2253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lastRenderedPageBreak/>
        <w:t>책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>소개</w:t>
      </w: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</w:p>
    <w:p w:rsidR="00BB3894" w:rsidRDefault="005F2253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0"/>
          <w:id w:val="-1493431853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갖고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싶은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꾹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참고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,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꼭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필요한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것만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사야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할까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?</w:t>
          </w:r>
        </w:sdtContent>
      </w:sdt>
    </w:p>
    <w:p w:rsidR="00BB3894" w:rsidRDefault="005F2253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"/>
          <w:id w:val="-225929879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아니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,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나를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행복하게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하는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나만의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소비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기준을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배워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BB3894" w:rsidRDefault="00BB3894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</w:p>
    <w:p w:rsidR="00BB3894" w:rsidRDefault="005F2253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"/>
          <w:id w:val="52458081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《갖고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싶은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살래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!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세상에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선보이는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특공대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행크가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갖고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싶은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구별하고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현명하게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과정을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그리고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BB3894" w:rsidRDefault="005F2253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3"/>
          <w:id w:val="1195199831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몸에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태도는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평생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좌우할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정도로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중요합니다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주인공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행크의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현명한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소비란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단순히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절약하는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어떻게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쓸지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계획을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선순위를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정하며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나만의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기준을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일이라는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BB3894" w:rsidRDefault="005F2253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4"/>
          <w:id w:val="120898246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전문가이자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간결한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속에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명쾌하고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직관적인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메시지를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담아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전달합니다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b/>
          <w:bCs/>
        </w:rPr>
      </w:pP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BB3894" w:rsidRDefault="005F2253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상세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이미지</w:t>
      </w:r>
    </w:p>
    <w:p w:rsidR="00BB3894" w:rsidRDefault="005F2253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첨부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파일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확인해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주세요</w:t>
      </w:r>
      <w:r>
        <w:rPr>
          <w:rFonts w:ascii="함초롬돋움" w:eastAsia="함초롬돋움" w:hAnsi="함초롬돋움" w:cs="함초롬돋움"/>
          <w:b/>
          <w:bCs/>
          <w:color w:val="FF0000"/>
          <w:sz w:val="22"/>
          <w:szCs w:val="22"/>
        </w:rPr>
        <w:t>.</w:t>
      </w: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BB3894" w:rsidRDefault="005F2253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저자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소개</w:t>
      </w: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BB3894" w:rsidRDefault="005F2253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5"/>
          <w:id w:val="-1698683505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글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그림</w:t>
          </w:r>
        </w:sdtContent>
      </w:sdt>
    </w:p>
    <w:p w:rsidR="00BB3894" w:rsidRDefault="005F2253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6"/>
          <w:id w:val="-147342216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컴퓨터공학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학위를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취득하고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같은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바탕으로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높이는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기여하고자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글을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쓰고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그렸다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일찍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시작할수록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호기심이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커지고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합리적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단단하게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뿌리내린다고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믿는다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일상에서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연스럽게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돈에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lastRenderedPageBreak/>
            <w:t>대화를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나누면서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구성했다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BB3894" w:rsidRDefault="00BB3894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BB3894" w:rsidRDefault="005F2253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7"/>
          <w:id w:val="-1108834026"/>
        </w:sdtPr>
        <w:sdtEndPr/>
        <w:sdtContent>
          <w:proofErr w:type="spellStart"/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제이드</w:t>
          </w:r>
          <w:proofErr w:type="spellEnd"/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우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BB3894" w:rsidRDefault="005F2253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8"/>
          <w:id w:val="-143074267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호텔경영학을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전공하고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중심지에서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경제의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흐름을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몸소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체험하면서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역설적으로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개인의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얼마나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중요한지를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깨달았고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계기가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한국과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차이를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고려해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내용을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다듬고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눈높이에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맞게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다정한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말로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전달하려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애썼다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조절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현명한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역량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좋은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습관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들이는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꾸준한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연습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과정이라고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생각한다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BB3894" w:rsidRDefault="00BB3894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BB3894" w:rsidRDefault="005F2253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9"/>
          <w:id w:val="-1024546609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한진아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BB3894" w:rsidRDefault="005F2253">
      <w:pPr>
        <w:spacing w:after="0" w:line="360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10"/>
          <w:id w:val="-172869222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육아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전문지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기자를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지금은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어린이책을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짓고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만들고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물론이고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성인이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되어서도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근처에도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못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세대다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아이들만큼은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풍요로운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환경에서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자랐으면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바람으로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작업에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참여했다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까다로운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친숙하게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풀어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집중했다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 ‘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사회정서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동화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문해력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_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래퍼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산신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령》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《자존감》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《자율》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따라쟁이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물고기》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다수의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그림책을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BB3894" w:rsidRDefault="00BB3894">
      <w:pPr>
        <w:spacing w:after="0" w:line="360" w:lineRule="auto"/>
        <w:jc w:val="left"/>
        <w:rPr>
          <w:rFonts w:ascii="Arial" w:eastAsia="Arial" w:hAnsi="Arial" w:cs="Arial"/>
          <w:b/>
          <w:bCs/>
          <w:color w:val="358791"/>
          <w:sz w:val="22"/>
          <w:szCs w:val="22"/>
        </w:rPr>
      </w:pPr>
    </w:p>
    <w:p w:rsidR="00BB3894" w:rsidRDefault="00BB3894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BB3894" w:rsidRDefault="00BB3894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BB3894" w:rsidRDefault="005F2253">
      <w:pPr>
        <w:widowControl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출판사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리뷰</w:t>
      </w:r>
    </w:p>
    <w:p w:rsidR="00BB3894" w:rsidRDefault="00BB389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BB3894" w:rsidRDefault="005F2253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1"/>
          <w:id w:val="1214063875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아껴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쓰라고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하지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말고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,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잘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선택하는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법을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알려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주세요</w:t>
          </w:r>
        </w:sdtContent>
      </w:sdt>
    </w:p>
    <w:p w:rsidR="00BB3894" w:rsidRDefault="005F2253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2"/>
          <w:id w:val="1803899842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만족스럽고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가치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있는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소비를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하는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아이로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키울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수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있습니다</w:t>
          </w:r>
        </w:sdtContent>
      </w:sdt>
    </w:p>
    <w:p w:rsidR="00BB3894" w:rsidRDefault="00BB3894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</w:p>
    <w:p w:rsidR="00BB3894" w:rsidRDefault="005F2253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3"/>
          <w:id w:val="89709058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갖고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싶은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절제해야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계신가요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?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갖고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싶은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비합리적이고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현명하지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못한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행위라고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생각하시나요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?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제공하는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환경에서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현실적이지도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교육적이지도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욕구의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기준을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실용적이고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유연하게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줘야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혼란스러워하지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자신만의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기준을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BB3894" w:rsidRDefault="005F2253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4"/>
          <w:id w:val="199605938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절약해야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가르침만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들으며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자라왔습니다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하지만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아닙니다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계획을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lastRenderedPageBreak/>
            <w:t>내게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무엇이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중요한지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우선순위를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정해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만족스러운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진짜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교육이에요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과정에서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충동을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조절하고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만족을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지연하며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선택에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따른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결과를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책임지는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연습을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주인공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행크의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함께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읽으며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욕구를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구별하고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우선순위를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현명하게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선택하는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주세요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 </w:t>
          </w:r>
        </w:sdtContent>
      </w:sdt>
    </w:p>
    <w:p w:rsidR="00BB3894" w:rsidRDefault="00BB3894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8"/>
          <w:szCs w:val="28"/>
        </w:rPr>
      </w:pPr>
    </w:p>
    <w:p w:rsidR="00BB3894" w:rsidRDefault="00BB3894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8"/>
          <w:szCs w:val="28"/>
        </w:rPr>
      </w:pPr>
    </w:p>
    <w:p w:rsidR="00BB3894" w:rsidRDefault="005F2253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5"/>
          <w:id w:val="375532624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교육이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처음이라면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생애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스쿨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BB3894" w:rsidRDefault="00BB3894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BB3894" w:rsidRDefault="005F2253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6"/>
          <w:id w:val="66261458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《갖고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싶은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살래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!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동화입니다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움직이는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가르친다면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안전하게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지키며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휴대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몇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터치하는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것만으로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언제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어디서든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가능해지고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하루가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멀다고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뉴스가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들려오는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요즘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선진국에서는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먼저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BB3894" w:rsidRDefault="005F2253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7"/>
          <w:id w:val="-12767442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지폐와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동전보다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친숙한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디지털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숫자로만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많아요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추상적인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일상적이고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구체적인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가르쳐야만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BB3894" w:rsidRDefault="005F2253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8"/>
          <w:id w:val="-171554321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나이나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단계와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상관없이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접하는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재미있게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올바른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태도를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도와줍니다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낯선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스쿨이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드리겠습니다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BB3894" w:rsidRDefault="00BB3894">
      <w:pPr>
        <w:spacing w:after="0" w:line="240" w:lineRule="auto"/>
        <w:rPr>
          <w:b/>
          <w:bCs/>
          <w:color w:val="666666"/>
          <w:sz w:val="23"/>
          <w:szCs w:val="23"/>
          <w:highlight w:val="white"/>
        </w:rPr>
      </w:pPr>
    </w:p>
    <w:sectPr w:rsidR="00BB3894">
      <w:headerReference w:type="default" r:id="rId9"/>
      <w:pgSz w:w="11906" w:h="16838"/>
      <w:pgMar w:top="1701" w:right="1440" w:bottom="1440" w:left="144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253" w:rsidRDefault="005F2253">
      <w:pPr>
        <w:spacing w:after="0" w:line="240" w:lineRule="auto"/>
      </w:pPr>
      <w:r>
        <w:separator/>
      </w:r>
    </w:p>
  </w:endnote>
  <w:endnote w:type="continuationSeparator" w:id="0">
    <w:p w:rsidR="005F2253" w:rsidRDefault="005F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Bold r:id="rId1" w:subsetted="1" w:fontKey="{5E592553-DD4B-41CB-9C14-62C0EF2238F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211DE437-9C8B-4EA1-BDB2-C97FCDF9729C}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  <w:embedRegular r:id="rId3" w:subsetted="1" w:fontKey="{B0109BF4-7267-4FC3-9273-7A6693602661}"/>
    <w:embedBold r:id="rId4" w:subsetted="1" w:fontKey="{EFAC044F-75A2-4675-892C-F1A4A275D39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253" w:rsidRDefault="005F2253">
      <w:pPr>
        <w:spacing w:after="0" w:line="240" w:lineRule="auto"/>
      </w:pPr>
      <w:r>
        <w:separator/>
      </w:r>
    </w:p>
  </w:footnote>
  <w:footnote w:type="continuationSeparator" w:id="0">
    <w:p w:rsidR="005F2253" w:rsidRDefault="005F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894" w:rsidRDefault="005F22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b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bCs/>
        <w:color w:val="AEAAAA"/>
      </w:rPr>
      <w:t>[</w:t>
    </w:r>
    <w:r>
      <w:rPr>
        <w:b/>
        <w:bCs/>
        <w:color w:val="AEAAAA"/>
      </w:rPr>
      <w:t>길벗스쿨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신간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보도자료</w:t>
    </w:r>
    <w:r>
      <w:rPr>
        <w:b/>
        <w:bCs/>
        <w:color w:val="AEAAAA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94"/>
    <w:rsid w:val="00166982"/>
    <w:rsid w:val="005F2253"/>
    <w:rsid w:val="00B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F57AD-0231-420B-A441-D2BE91C1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4">
    <w:name w:val="바탕글"/>
    <w:rsid w:val="0023461C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paragraph" w:styleId="a5">
    <w:name w:val="header"/>
    <w:link w:val="Char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B5F82"/>
  </w:style>
  <w:style w:type="paragraph" w:styleId="a6">
    <w:name w:val="footer"/>
    <w:link w:val="Char0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B5F82"/>
  </w:style>
  <w:style w:type="paragraph" w:styleId="a7">
    <w:name w:val="List Paragraph"/>
    <w:uiPriority w:val="34"/>
    <w:qFormat/>
    <w:rsid w:val="004578AC"/>
    <w:pPr>
      <w:ind w:leftChars="400" w:left="800"/>
    </w:p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s68+LozTU5fGMTr5ZoRjg4Ag+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zgAciExN2h3MlhLRG9kY25oWE5wNFQ4RTNKcENmU21teGR1V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gilbut</dc:creator>
  <cp:lastModifiedBy>gilbut</cp:lastModifiedBy>
  <cp:revision>2</cp:revision>
  <dcterms:created xsi:type="dcterms:W3CDTF">2026-03-29T23:15:00Z</dcterms:created>
  <dcterms:modified xsi:type="dcterms:W3CDTF">2026-03-29T23:15:00Z</dcterms:modified>
</cp:coreProperties>
</file>